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C" w:rsidRDefault="00172B7C" w:rsidP="001F01A3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7F74D39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B7C" w:rsidRDefault="00172B7C" w:rsidP="00172B7C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ПРЕСС-РЕЛИЗ</w:t>
      </w:r>
    </w:p>
    <w:p w:rsidR="0080134D" w:rsidRDefault="0080134D" w:rsidP="00172B7C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:rsidR="00DA2A38" w:rsidRPr="009C1B9E" w:rsidRDefault="0080134D" w:rsidP="0080134D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C1B9E">
        <w:rPr>
          <w:rFonts w:ascii="Segoe UI" w:hAnsi="Segoe UI" w:cs="Segoe UI"/>
          <w:b/>
          <w:sz w:val="32"/>
          <w:szCs w:val="32"/>
        </w:rPr>
        <w:t>Закон о «лесной амнистии» призван</w:t>
      </w:r>
      <w:r w:rsidRPr="009C1B9E">
        <w:rPr>
          <w:b/>
          <w:sz w:val="32"/>
          <w:szCs w:val="32"/>
        </w:rPr>
        <w:t xml:space="preserve"> </w:t>
      </w:r>
      <w:r w:rsidRPr="009C1B9E">
        <w:rPr>
          <w:rFonts w:ascii="Segoe UI" w:hAnsi="Segoe UI" w:cs="Segoe UI"/>
          <w:b/>
          <w:sz w:val="32"/>
          <w:szCs w:val="32"/>
        </w:rPr>
        <w:t>защитить права граждан на объекты недвижимости</w:t>
      </w:r>
      <w:r w:rsidR="00D543C4" w:rsidRPr="009C1B9E">
        <w:rPr>
          <w:rFonts w:ascii="Segoe UI" w:hAnsi="Segoe UI" w:cs="Segoe UI"/>
          <w:b/>
          <w:sz w:val="24"/>
          <w:szCs w:val="24"/>
        </w:rPr>
        <w:t xml:space="preserve"> </w:t>
      </w:r>
    </w:p>
    <w:p w:rsidR="00704A7E" w:rsidRPr="00193F40" w:rsidRDefault="00156778" w:rsidP="001F01A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93F40">
        <w:rPr>
          <w:rFonts w:ascii="Segoe UI" w:hAnsi="Segoe UI" w:cs="Segoe UI"/>
          <w:color w:val="000000"/>
          <w:sz w:val="24"/>
          <w:szCs w:val="24"/>
        </w:rPr>
        <w:t>11 августа 2017 г. вступил в силу Ф</w:t>
      </w:r>
      <w:r w:rsidR="00704A7E" w:rsidRPr="00193F40">
        <w:rPr>
          <w:rFonts w:ascii="Segoe UI" w:hAnsi="Segoe UI" w:cs="Segoe UI"/>
          <w:color w:val="000000"/>
          <w:sz w:val="24"/>
          <w:szCs w:val="24"/>
        </w:rPr>
        <w:t xml:space="preserve">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(«лесная амнистия»). </w:t>
      </w:r>
      <w:r w:rsidRPr="00193F40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704A7E" w:rsidRPr="001F01A3" w:rsidRDefault="00704A7E" w:rsidP="001F01A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1F01A3">
        <w:rPr>
          <w:rFonts w:ascii="Segoe UI" w:eastAsiaTheme="minorHAnsi" w:hAnsi="Segoe UI" w:cs="Segoe UI"/>
          <w:color w:val="000000"/>
          <w:lang w:eastAsia="en-US"/>
        </w:rPr>
        <w:t>Закон о «лесной амнистии» призван устранить противоречия двух государственных реестров – Единого государственного реестра недвижимости</w:t>
      </w:r>
      <w:r w:rsidR="002971CC">
        <w:rPr>
          <w:rFonts w:ascii="Segoe UI" w:eastAsiaTheme="minorHAnsi" w:hAnsi="Segoe UI" w:cs="Segoe UI"/>
          <w:color w:val="000000"/>
          <w:lang w:eastAsia="en-US"/>
        </w:rPr>
        <w:t xml:space="preserve"> (ЕГРН)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 и государственного лесного реестра</w:t>
      </w:r>
      <w:r w:rsidR="002971CC">
        <w:rPr>
          <w:rFonts w:ascii="Segoe UI" w:eastAsiaTheme="minorHAnsi" w:hAnsi="Segoe UI" w:cs="Segoe UI"/>
          <w:color w:val="000000"/>
          <w:lang w:eastAsia="en-US"/>
        </w:rPr>
        <w:t xml:space="preserve"> (Г</w:t>
      </w:r>
      <w:r w:rsidR="0087379F">
        <w:rPr>
          <w:rFonts w:ascii="Segoe UI" w:eastAsiaTheme="minorHAnsi" w:hAnsi="Segoe UI" w:cs="Segoe UI"/>
          <w:color w:val="000000"/>
          <w:lang w:eastAsia="en-US"/>
        </w:rPr>
        <w:t>ЛР</w:t>
      </w:r>
      <w:r w:rsidR="002971CC">
        <w:rPr>
          <w:rFonts w:ascii="Segoe UI" w:eastAsiaTheme="minorHAnsi" w:hAnsi="Segoe UI" w:cs="Segoe UI"/>
          <w:color w:val="000000"/>
          <w:lang w:eastAsia="en-US"/>
        </w:rPr>
        <w:t>)</w:t>
      </w:r>
      <w:r w:rsidRPr="001F01A3">
        <w:rPr>
          <w:rFonts w:ascii="Segoe UI" w:eastAsiaTheme="minorHAnsi" w:hAnsi="Segoe UI" w:cs="Segoe UI"/>
          <w:color w:val="000000"/>
          <w:lang w:eastAsia="en-US"/>
        </w:rPr>
        <w:t>, с целью защиты прав граждан на объекты недвижимости. В тоже время закон не исключает существующие механизмы сохранения лесов, представляющих наибольшую экологическую ценность.</w:t>
      </w:r>
    </w:p>
    <w:p w:rsidR="00704A7E" w:rsidRPr="00193F40" w:rsidRDefault="00704A7E" w:rsidP="001F01A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93F40">
        <w:rPr>
          <w:rFonts w:ascii="Segoe UI" w:hAnsi="Segoe UI" w:cs="Segoe UI"/>
          <w:color w:val="000000"/>
          <w:sz w:val="24"/>
          <w:szCs w:val="24"/>
        </w:rPr>
        <w:t xml:space="preserve">По статистике Управления Росреестра по </w:t>
      </w:r>
      <w:r w:rsidR="00933415" w:rsidRPr="00193F40">
        <w:rPr>
          <w:rFonts w:ascii="Segoe UI" w:hAnsi="Segoe UI" w:cs="Segoe UI"/>
          <w:color w:val="000000"/>
          <w:sz w:val="24"/>
          <w:szCs w:val="24"/>
        </w:rPr>
        <w:t>Калужской области</w:t>
      </w:r>
      <w:r w:rsidRPr="00193F40">
        <w:rPr>
          <w:rFonts w:ascii="Segoe UI" w:hAnsi="Segoe UI" w:cs="Segoe UI"/>
          <w:color w:val="000000"/>
          <w:sz w:val="24"/>
          <w:szCs w:val="24"/>
        </w:rPr>
        <w:t> </w:t>
      </w:r>
      <w:r w:rsidR="00A0305E" w:rsidRPr="001F01A3">
        <w:rPr>
          <w:rFonts w:ascii="Segoe UI" w:hAnsi="Segoe UI" w:cs="Segoe UI"/>
          <w:color w:val="000000"/>
          <w:sz w:val="24"/>
          <w:szCs w:val="24"/>
        </w:rPr>
        <w:t>общая площадь земель лесного фонда на территории Калужской области – 12538000 га.</w:t>
      </w:r>
      <w:r w:rsidR="009B75F5" w:rsidRPr="001F01A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0305E" w:rsidRPr="001F01A3">
        <w:rPr>
          <w:rFonts w:ascii="Segoe UI" w:hAnsi="Segoe UI" w:cs="Segoe UI"/>
          <w:color w:val="000000"/>
          <w:sz w:val="24"/>
          <w:szCs w:val="24"/>
        </w:rPr>
        <w:t>Земельны</w:t>
      </w:r>
      <w:r w:rsidR="009B75F5" w:rsidRPr="001F01A3">
        <w:rPr>
          <w:rFonts w:ascii="Segoe UI" w:hAnsi="Segoe UI" w:cs="Segoe UI"/>
          <w:color w:val="000000"/>
          <w:sz w:val="24"/>
          <w:szCs w:val="24"/>
        </w:rPr>
        <w:t xml:space="preserve">х </w:t>
      </w:r>
      <w:r w:rsidR="00A0305E" w:rsidRPr="001F01A3">
        <w:rPr>
          <w:rFonts w:ascii="Segoe UI" w:hAnsi="Segoe UI" w:cs="Segoe UI"/>
          <w:color w:val="000000"/>
          <w:sz w:val="24"/>
          <w:szCs w:val="24"/>
        </w:rPr>
        <w:t xml:space="preserve"> участк</w:t>
      </w:r>
      <w:r w:rsidR="009B75F5" w:rsidRPr="001F01A3">
        <w:rPr>
          <w:rFonts w:ascii="Segoe UI" w:hAnsi="Segoe UI" w:cs="Segoe UI"/>
          <w:color w:val="000000"/>
          <w:sz w:val="24"/>
          <w:szCs w:val="24"/>
        </w:rPr>
        <w:t xml:space="preserve">ов, отнесенных </w:t>
      </w:r>
      <w:r w:rsidR="00A0305E" w:rsidRPr="001F01A3">
        <w:rPr>
          <w:rFonts w:ascii="Segoe UI" w:hAnsi="Segoe UI" w:cs="Segoe UI"/>
          <w:color w:val="000000"/>
          <w:sz w:val="24"/>
          <w:szCs w:val="24"/>
        </w:rPr>
        <w:t xml:space="preserve"> к землям лесного фонда в ЕГРН – 5811  площадью 1924150,39 га.</w:t>
      </w:r>
      <w:r w:rsidR="009B75F5" w:rsidRPr="001F01A3">
        <w:rPr>
          <w:rFonts w:ascii="Segoe UI" w:hAnsi="Segoe UI" w:cs="Segoe UI"/>
          <w:color w:val="000000"/>
          <w:sz w:val="24"/>
          <w:szCs w:val="24"/>
        </w:rPr>
        <w:t xml:space="preserve">  Н</w:t>
      </w:r>
      <w:r w:rsidRPr="00193F40">
        <w:rPr>
          <w:rFonts w:ascii="Segoe UI" w:hAnsi="Segoe UI" w:cs="Segoe UI"/>
          <w:color w:val="000000"/>
          <w:sz w:val="24"/>
          <w:szCs w:val="24"/>
        </w:rPr>
        <w:t>а территории региона насчитывается </w:t>
      </w:r>
      <w:r w:rsidR="006B5BA7" w:rsidRPr="00193F40">
        <w:rPr>
          <w:rFonts w:ascii="Segoe UI" w:hAnsi="Segoe UI" w:cs="Segoe UI"/>
          <w:color w:val="000000"/>
          <w:sz w:val="24"/>
          <w:szCs w:val="24"/>
        </w:rPr>
        <w:t>414</w:t>
      </w:r>
      <w:r w:rsidRPr="00193F40">
        <w:rPr>
          <w:rFonts w:ascii="Segoe UI" w:hAnsi="Segoe UI" w:cs="Segoe UI"/>
          <w:color w:val="000000"/>
          <w:sz w:val="24"/>
          <w:szCs w:val="24"/>
        </w:rPr>
        <w:t> земельных участков, которые имеют подтвержденные пересечения с землями лесного фонда. В таких случаях закон о «лесной амнистии» предусматривает новый обязательный алгоритм действий</w:t>
      </w:r>
      <w:r w:rsidR="001F01A3"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193F4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F01A3">
        <w:rPr>
          <w:rFonts w:ascii="Segoe UI" w:hAnsi="Segoe UI" w:cs="Segoe UI"/>
          <w:color w:val="000000"/>
          <w:sz w:val="24"/>
          <w:szCs w:val="24"/>
        </w:rPr>
        <w:t>данные ЕГРН</w:t>
      </w:r>
      <w:r w:rsidR="001F01A3" w:rsidRPr="001F01A3">
        <w:rPr>
          <w:rFonts w:ascii="Segoe UI" w:hAnsi="Segoe UI" w:cs="Segoe UI"/>
          <w:color w:val="000000"/>
          <w:sz w:val="24"/>
          <w:szCs w:val="24"/>
        </w:rPr>
        <w:t xml:space="preserve"> по закону должны получить приоритет перед данными лесного фонда.</w:t>
      </w:r>
      <w:r w:rsidR="001F01A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B331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704A7E" w:rsidRPr="001F01A3" w:rsidRDefault="00704A7E" w:rsidP="001F01A3">
      <w:pPr>
        <w:pStyle w:val="a3"/>
        <w:shd w:val="clear" w:color="auto" w:fill="FFFFFF"/>
        <w:spacing w:after="0"/>
        <w:jc w:val="both"/>
        <w:rPr>
          <w:rFonts w:ascii="Segoe UI" w:eastAsiaTheme="minorHAnsi" w:hAnsi="Segoe UI" w:cs="Segoe UI"/>
          <w:color w:val="000000"/>
          <w:lang w:eastAsia="en-US"/>
        </w:rPr>
      </w:pPr>
      <w:proofErr w:type="gramStart"/>
      <w:r w:rsidRPr="00193F40">
        <w:rPr>
          <w:rFonts w:ascii="Segoe UI" w:hAnsi="Segoe UI" w:cs="Segoe UI"/>
          <w:color w:val="000000"/>
        </w:rPr>
        <w:t xml:space="preserve">Управление Росреестра по </w:t>
      </w:r>
      <w:r w:rsidR="00E929E4" w:rsidRPr="00193F40">
        <w:rPr>
          <w:rFonts w:ascii="Segoe UI" w:hAnsi="Segoe UI" w:cs="Segoe UI"/>
          <w:color w:val="000000"/>
        </w:rPr>
        <w:t>Калужс</w:t>
      </w:r>
      <w:r w:rsidRPr="00193F40">
        <w:rPr>
          <w:rFonts w:ascii="Segoe UI" w:hAnsi="Segoe UI" w:cs="Segoe UI"/>
          <w:color w:val="000000"/>
        </w:rPr>
        <w:t xml:space="preserve">кой области </w:t>
      </w:r>
      <w:r w:rsidR="006C41FE" w:rsidRPr="00193F40">
        <w:rPr>
          <w:rFonts w:ascii="Segoe UI" w:hAnsi="Segoe UI" w:cs="Segoe UI"/>
          <w:color w:val="000000"/>
        </w:rPr>
        <w:t>проводит</w:t>
      </w:r>
      <w:r w:rsidRPr="00193F40">
        <w:rPr>
          <w:rFonts w:ascii="Segoe UI" w:hAnsi="Segoe UI" w:cs="Segoe UI"/>
          <w:color w:val="000000"/>
        </w:rPr>
        <w:t xml:space="preserve"> целенаправленн</w:t>
      </w:r>
      <w:r w:rsidR="006C41FE" w:rsidRPr="00193F40">
        <w:rPr>
          <w:rFonts w:ascii="Segoe UI" w:hAnsi="Segoe UI" w:cs="Segoe UI"/>
          <w:color w:val="000000"/>
        </w:rPr>
        <w:t>ую</w:t>
      </w:r>
      <w:r w:rsidRPr="00193F40">
        <w:rPr>
          <w:rFonts w:ascii="Segoe UI" w:hAnsi="Segoe UI" w:cs="Segoe UI"/>
          <w:color w:val="000000"/>
        </w:rPr>
        <w:t xml:space="preserve"> </w:t>
      </w:r>
      <w:r w:rsidRPr="001F01A3">
        <w:rPr>
          <w:rFonts w:ascii="Segoe UI" w:eastAsiaTheme="minorHAnsi" w:hAnsi="Segoe UI" w:cs="Segoe UI"/>
          <w:color w:val="000000"/>
          <w:lang w:eastAsia="en-US"/>
        </w:rPr>
        <w:t>работ</w:t>
      </w:r>
      <w:r w:rsidR="006C41FE" w:rsidRPr="001F01A3">
        <w:rPr>
          <w:rFonts w:ascii="Segoe UI" w:eastAsiaTheme="minorHAnsi" w:hAnsi="Segoe UI" w:cs="Segoe UI"/>
          <w:color w:val="000000"/>
          <w:lang w:eastAsia="en-US"/>
        </w:rPr>
        <w:t>у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 с представителями </w:t>
      </w:r>
      <w:r w:rsidR="006C41FE" w:rsidRPr="001F01A3">
        <w:rPr>
          <w:rFonts w:ascii="Segoe UI" w:eastAsiaTheme="minorHAnsi" w:hAnsi="Segoe UI" w:cs="Segoe UI"/>
          <w:color w:val="000000"/>
          <w:lang w:eastAsia="en-US"/>
        </w:rPr>
        <w:t>Министерства лесного хозяйства Калужской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 области, </w:t>
      </w:r>
      <w:r w:rsidR="002D647B">
        <w:rPr>
          <w:rFonts w:ascii="Segoe UI" w:eastAsiaTheme="minorHAnsi" w:hAnsi="Segoe UI" w:cs="Segoe UI"/>
          <w:color w:val="000000"/>
          <w:lang w:eastAsia="en-US"/>
        </w:rPr>
        <w:t>Межрегионального т</w:t>
      </w:r>
      <w:r w:rsidR="00A95B4B" w:rsidRPr="001F01A3">
        <w:rPr>
          <w:rFonts w:ascii="Segoe UI" w:eastAsiaTheme="minorHAnsi" w:hAnsi="Segoe UI" w:cs="Segoe UI"/>
          <w:color w:val="000000"/>
          <w:lang w:eastAsia="en-US"/>
        </w:rPr>
        <w:t>ерриториального управления Федерального агентства по управлению государственным имуществом в Калужской, Брянской и Смоленской областях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, а также филиалом ФГБУ «ФКП Росреестра» по </w:t>
      </w:r>
      <w:r w:rsidR="006C41FE" w:rsidRPr="001F01A3">
        <w:rPr>
          <w:rFonts w:ascii="Segoe UI" w:eastAsiaTheme="minorHAnsi" w:hAnsi="Segoe UI" w:cs="Segoe UI"/>
          <w:color w:val="000000"/>
          <w:lang w:eastAsia="en-US"/>
        </w:rPr>
        <w:t>Калужс</w:t>
      </w:r>
      <w:r w:rsidRPr="001F01A3">
        <w:rPr>
          <w:rFonts w:ascii="Segoe UI" w:eastAsiaTheme="minorHAnsi" w:hAnsi="Segoe UI" w:cs="Segoe UI"/>
          <w:color w:val="000000"/>
          <w:lang w:eastAsia="en-US"/>
        </w:rPr>
        <w:t>кой об</w:t>
      </w:r>
      <w:r w:rsidR="009C1B9E">
        <w:rPr>
          <w:rFonts w:ascii="Segoe UI" w:eastAsiaTheme="minorHAnsi" w:hAnsi="Segoe UI" w:cs="Segoe UI"/>
          <w:color w:val="000000"/>
          <w:lang w:eastAsia="en-US"/>
        </w:rPr>
        <w:t xml:space="preserve">ласти по наполнению актуальными 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сведениями кадастра недвижимости об участках лесного фонда </w:t>
      </w:r>
      <w:r w:rsidR="00A95B4B" w:rsidRPr="001F01A3">
        <w:rPr>
          <w:rFonts w:ascii="Segoe UI" w:eastAsiaTheme="minorHAnsi" w:hAnsi="Segoe UI" w:cs="Segoe UI"/>
          <w:color w:val="000000"/>
          <w:lang w:eastAsia="en-US"/>
        </w:rPr>
        <w:t>Калуж</w:t>
      </w:r>
      <w:r w:rsidR="009C1B9E">
        <w:rPr>
          <w:rFonts w:ascii="Segoe UI" w:eastAsiaTheme="minorHAnsi" w:hAnsi="Segoe UI" w:cs="Segoe UI"/>
          <w:color w:val="000000"/>
          <w:lang w:eastAsia="en-US"/>
        </w:rPr>
        <w:t>ской области.</w:t>
      </w:r>
      <w:proofErr w:type="gramEnd"/>
      <w:r w:rsidR="009C1B9E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На постоянной основе проводятся </w:t>
      </w:r>
      <w:r w:rsidR="00A95B4B" w:rsidRPr="001F01A3">
        <w:rPr>
          <w:rFonts w:ascii="Segoe UI" w:eastAsiaTheme="minorHAnsi" w:hAnsi="Segoe UI" w:cs="Segoe UI"/>
          <w:color w:val="000000"/>
          <w:lang w:eastAsia="en-US"/>
        </w:rPr>
        <w:t xml:space="preserve">заседания межведомственной </w:t>
      </w:r>
      <w:r w:rsidRPr="001F01A3">
        <w:rPr>
          <w:rFonts w:ascii="Segoe UI" w:eastAsiaTheme="minorHAnsi" w:hAnsi="Segoe UI" w:cs="Segoe UI"/>
          <w:color w:val="000000"/>
          <w:lang w:eastAsia="en-US"/>
        </w:rPr>
        <w:t>рабоч</w:t>
      </w:r>
      <w:r w:rsidR="00A95B4B" w:rsidRPr="001F01A3">
        <w:rPr>
          <w:rFonts w:ascii="Segoe UI" w:eastAsiaTheme="minorHAnsi" w:hAnsi="Segoe UI" w:cs="Segoe UI"/>
          <w:color w:val="000000"/>
          <w:lang w:eastAsia="en-US"/>
        </w:rPr>
        <w:t>ей</w:t>
      </w:r>
      <w:r w:rsidRPr="001F01A3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="00A95B4B" w:rsidRPr="001F01A3">
        <w:rPr>
          <w:rFonts w:ascii="Segoe UI" w:eastAsiaTheme="minorHAnsi" w:hAnsi="Segoe UI" w:cs="Segoe UI"/>
          <w:color w:val="000000"/>
          <w:lang w:eastAsia="en-US"/>
        </w:rPr>
        <w:t>группы</w:t>
      </w:r>
      <w:r w:rsidRPr="001F01A3">
        <w:rPr>
          <w:rFonts w:ascii="Segoe UI" w:eastAsiaTheme="minorHAnsi" w:hAnsi="Segoe UI" w:cs="Segoe UI"/>
          <w:color w:val="000000"/>
          <w:lang w:eastAsia="en-US"/>
        </w:rPr>
        <w:t>,</w:t>
      </w:r>
      <w:r w:rsidR="009B75F5" w:rsidRPr="001F01A3">
        <w:rPr>
          <w:rFonts w:ascii="Segoe UI" w:eastAsiaTheme="minorHAnsi" w:hAnsi="Segoe UI" w:cs="Segoe UI"/>
          <w:color w:val="000000"/>
          <w:lang w:eastAsia="en-US"/>
        </w:rPr>
        <w:t xml:space="preserve"> созданной для решения вопросов, связанных с приведением в соответствие сведений ЕГРН и </w:t>
      </w:r>
      <w:r w:rsidR="0087379F">
        <w:rPr>
          <w:rFonts w:ascii="Segoe UI" w:eastAsiaTheme="minorHAnsi" w:hAnsi="Segoe UI" w:cs="Segoe UI"/>
          <w:color w:val="000000"/>
          <w:lang w:eastAsia="en-US"/>
        </w:rPr>
        <w:t>ГЛР</w:t>
      </w:r>
      <w:r w:rsidR="009B75F5" w:rsidRPr="001F01A3">
        <w:rPr>
          <w:rFonts w:ascii="Segoe UI" w:eastAsiaTheme="minorHAnsi" w:hAnsi="Segoe UI" w:cs="Segoe UI"/>
          <w:color w:val="000000"/>
          <w:lang w:eastAsia="en-US"/>
        </w:rPr>
        <w:t xml:space="preserve"> о лесных участках. </w:t>
      </w:r>
      <w:r w:rsidR="00D543C4" w:rsidRPr="001F01A3">
        <w:rPr>
          <w:rFonts w:ascii="Segoe UI" w:eastAsiaTheme="minorHAnsi" w:hAnsi="Segoe UI" w:cs="Segoe UI"/>
          <w:color w:val="000000"/>
          <w:lang w:eastAsia="en-US"/>
        </w:rPr>
        <w:t xml:space="preserve"> </w:t>
      </w:r>
    </w:p>
    <w:p w:rsidR="00D543C4" w:rsidRPr="00193F40" w:rsidRDefault="00172B7C" w:rsidP="001F01A3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D543C4" w:rsidRPr="00193F40">
        <w:rPr>
          <w:rFonts w:ascii="Segoe UI" w:hAnsi="Segoe UI" w:cs="Segoe UI"/>
          <w:sz w:val="24"/>
          <w:szCs w:val="24"/>
        </w:rPr>
        <w:t xml:space="preserve">Нам предстоит провести большую работу, чтобы устранить выявленные противоречия между </w:t>
      </w:r>
      <w:r w:rsidR="00821942" w:rsidRPr="001F01A3">
        <w:rPr>
          <w:rFonts w:ascii="Segoe UI" w:hAnsi="Segoe UI" w:cs="Segoe UI"/>
          <w:color w:val="000000"/>
        </w:rPr>
        <w:t xml:space="preserve">ЕГРН и </w:t>
      </w:r>
      <w:r w:rsidR="00821942">
        <w:rPr>
          <w:rFonts w:ascii="Segoe UI" w:hAnsi="Segoe UI" w:cs="Segoe UI"/>
          <w:color w:val="000000"/>
        </w:rPr>
        <w:t>ГЛР</w:t>
      </w:r>
      <w:r w:rsidR="00D543C4" w:rsidRPr="00193F40">
        <w:rPr>
          <w:rFonts w:ascii="Segoe UI" w:hAnsi="Segoe UI" w:cs="Segoe UI"/>
          <w:sz w:val="24"/>
          <w:szCs w:val="24"/>
        </w:rPr>
        <w:t xml:space="preserve">. Важно помочь </w:t>
      </w:r>
      <w:r>
        <w:rPr>
          <w:rFonts w:ascii="Segoe UI" w:hAnsi="Segoe UI" w:cs="Segoe UI"/>
          <w:sz w:val="24"/>
          <w:szCs w:val="24"/>
        </w:rPr>
        <w:t>добросовестным приобретателям земельных участков</w:t>
      </w:r>
      <w:r w:rsidR="00D543C4" w:rsidRPr="00193F40">
        <w:rPr>
          <w:rFonts w:ascii="Segoe UI" w:hAnsi="Segoe UI" w:cs="Segoe UI"/>
          <w:sz w:val="24"/>
          <w:szCs w:val="24"/>
        </w:rPr>
        <w:t xml:space="preserve">, но при этом и лес не должен пострадать, - </w:t>
      </w:r>
      <w:r w:rsidR="00193F40" w:rsidRPr="00193F40">
        <w:rPr>
          <w:rFonts w:ascii="Segoe UI" w:hAnsi="Segoe UI" w:cs="Segoe UI"/>
          <w:sz w:val="24"/>
          <w:szCs w:val="24"/>
        </w:rPr>
        <w:lastRenderedPageBreak/>
        <w:t xml:space="preserve">прокомментировала </w:t>
      </w:r>
      <w:r w:rsidR="00D543C4" w:rsidRPr="00193F40">
        <w:rPr>
          <w:rFonts w:ascii="Segoe UI" w:hAnsi="Segoe UI" w:cs="Segoe UI"/>
          <w:sz w:val="24"/>
          <w:szCs w:val="24"/>
        </w:rPr>
        <w:t xml:space="preserve"> заместитель руководителя Управления Росреестра по Калужской облас</w:t>
      </w:r>
      <w:r>
        <w:rPr>
          <w:rFonts w:ascii="Segoe UI" w:hAnsi="Segoe UI" w:cs="Segoe UI"/>
          <w:sz w:val="24"/>
          <w:szCs w:val="24"/>
        </w:rPr>
        <w:t xml:space="preserve">ти, председатель рабочей группы </w:t>
      </w:r>
      <w:r w:rsidR="00D543C4" w:rsidRPr="00193F40">
        <w:rPr>
          <w:rFonts w:ascii="Segoe UI" w:hAnsi="Segoe UI" w:cs="Segoe UI"/>
          <w:sz w:val="24"/>
          <w:szCs w:val="24"/>
        </w:rPr>
        <w:t xml:space="preserve">Л.В. </w:t>
      </w:r>
      <w:proofErr w:type="spellStart"/>
      <w:r w:rsidR="00D543C4" w:rsidRPr="00193F40">
        <w:rPr>
          <w:rFonts w:ascii="Segoe UI" w:hAnsi="Segoe UI" w:cs="Segoe UI"/>
          <w:sz w:val="24"/>
          <w:szCs w:val="24"/>
        </w:rPr>
        <w:t>Димошенкова</w:t>
      </w:r>
      <w:proofErr w:type="spellEnd"/>
      <w:r w:rsidR="00D543C4" w:rsidRPr="00193F40">
        <w:rPr>
          <w:rFonts w:ascii="Segoe UI" w:hAnsi="Segoe UI" w:cs="Segoe UI"/>
          <w:sz w:val="24"/>
          <w:szCs w:val="24"/>
        </w:rPr>
        <w:t>.</w:t>
      </w:r>
      <w:r w:rsidR="00821942">
        <w:rPr>
          <w:rFonts w:ascii="Segoe UI" w:hAnsi="Segoe UI" w:cs="Segoe UI"/>
          <w:sz w:val="24"/>
          <w:szCs w:val="24"/>
        </w:rPr>
        <w:t xml:space="preserve"> </w:t>
      </w:r>
      <w:r w:rsidR="00193F40" w:rsidRPr="00193F40">
        <w:rPr>
          <w:rFonts w:ascii="Segoe UI" w:hAnsi="Segoe UI" w:cs="Segoe UI"/>
          <w:sz w:val="24"/>
          <w:szCs w:val="24"/>
        </w:rPr>
        <w:t xml:space="preserve">- </w:t>
      </w:r>
      <w:r w:rsidR="00193F40" w:rsidRPr="00193F40">
        <w:rPr>
          <w:rFonts w:ascii="Segoe UI" w:hAnsi="Segoe UI" w:cs="Segoe UI"/>
          <w:color w:val="000000"/>
          <w:sz w:val="24"/>
          <w:szCs w:val="24"/>
        </w:rPr>
        <w:t xml:space="preserve">Важно отметить, что деятельность рабочей группы направлена также </w:t>
      </w:r>
      <w:r w:rsidR="00557C5E" w:rsidRPr="00193F40">
        <w:rPr>
          <w:rFonts w:ascii="Segoe UI" w:hAnsi="Segoe UI" w:cs="Segoe UI"/>
          <w:color w:val="000000"/>
          <w:sz w:val="24"/>
          <w:szCs w:val="24"/>
        </w:rPr>
        <w:t xml:space="preserve">и на реализацию мероприятий по достижению показателей целевой модели упрощения процедур ведения бизнеса и повышения инвестиционной привлекательности </w:t>
      </w:r>
      <w:r w:rsidR="00193F40" w:rsidRPr="00193F40">
        <w:rPr>
          <w:rFonts w:ascii="Segoe UI" w:hAnsi="Segoe UI" w:cs="Segoe UI"/>
          <w:color w:val="000000"/>
          <w:sz w:val="24"/>
          <w:szCs w:val="24"/>
        </w:rPr>
        <w:t>региона».</w:t>
      </w:r>
    </w:p>
    <w:sectPr w:rsidR="00D543C4" w:rsidRPr="00193F40" w:rsidSect="0010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419"/>
    <w:rsid w:val="001009A8"/>
    <w:rsid w:val="00156778"/>
    <w:rsid w:val="00172B7C"/>
    <w:rsid w:val="00193F40"/>
    <w:rsid w:val="001F01A3"/>
    <w:rsid w:val="002971CC"/>
    <w:rsid w:val="002D647B"/>
    <w:rsid w:val="00430419"/>
    <w:rsid w:val="00557C5E"/>
    <w:rsid w:val="006B5BA7"/>
    <w:rsid w:val="006C41FE"/>
    <w:rsid w:val="00704A7E"/>
    <w:rsid w:val="0080134D"/>
    <w:rsid w:val="00821942"/>
    <w:rsid w:val="0087379F"/>
    <w:rsid w:val="00933415"/>
    <w:rsid w:val="009B75F5"/>
    <w:rsid w:val="009C1B9E"/>
    <w:rsid w:val="00A0305E"/>
    <w:rsid w:val="00A95B4B"/>
    <w:rsid w:val="00CB331E"/>
    <w:rsid w:val="00D543C4"/>
    <w:rsid w:val="00DA2A38"/>
    <w:rsid w:val="00E929E4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DolgovaVB</dc:creator>
  <cp:lastModifiedBy>DolgovaVB</cp:lastModifiedBy>
  <cp:revision>13</cp:revision>
  <cp:lastPrinted>2017-11-22T07:59:00Z</cp:lastPrinted>
  <dcterms:created xsi:type="dcterms:W3CDTF">2017-10-31T08:31:00Z</dcterms:created>
  <dcterms:modified xsi:type="dcterms:W3CDTF">2017-11-22T08:01:00Z</dcterms:modified>
</cp:coreProperties>
</file>